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32"/>
          <w:rtl w:val="0"/>
        </w:rPr>
        <w:t xml:space="preserve">  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Téma DIPLOMOVÉ PRÁCE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obor: </w:t>
      </w: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Inženýrská  mechanika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Název tématu: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1"/>
          <w:sz w:val="28"/>
          <w:rtl w:val="0"/>
        </w:rPr>
        <w:t xml:space="preserve">Ztráta stability prutů na pružném základě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Popis problematiky: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Rešerše a popis dané problematiky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Návrh analytického postupu analýzy ztráty stability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Analýza ztráty stability prutu na pružném základě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Návrh numerického postupu analýzy ztráty stability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Numerická analýza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Závěry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3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Vedoucí diplomové práce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:  </w:t>
        <w:tab/>
        <w:t xml:space="preserve">Doc. Ing. Tomáš Mareš, Ph.D.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  <w:t xml:space="preserve">tomas.mares</w:t>
      </w:r>
      <w:hyperlink r:id="rId5">
        <w:r w:rsidRPr="00000000" w:rsidR="00000000" w:rsidDel="00000000">
          <w:rPr>
            <w:rFonts w:cs="Calibri" w:hAnsi="Calibri" w:eastAsia="Calibri" w:ascii="Calibri"/>
            <w:color w:val="0000ff"/>
            <w:sz w:val="20"/>
            <w:u w:val="single"/>
            <w:rtl w:val="0"/>
          </w:rPr>
          <w:t xml:space="preserve">@fs.cvut.cz</w:t>
        </w:r>
      </w:hyperlink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Konzultant (kontakt): </w:t>
        <w:tab/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Seznam doporučené literatury: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Skripta PPI a PPII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C.M.Wang, G.Y.Wang, J.N.Reddy: Exact solutions for buckling of structural members, CRC Press 2005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ilan.Ruzicka@fs.cvut.cz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DP2.docx</dc:title>
</cp:coreProperties>
</file>