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32"/>
          <w:rtl w:val="0"/>
        </w:rPr>
        <w:t xml:space="preserve">  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Téma DIPLOMOVÉ PRÁCE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obor: </w:t>
      </w: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Inženýrská  mechanika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Název tématu: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1"/>
          <w:sz w:val="28"/>
          <w:rtl w:val="0"/>
        </w:rPr>
        <w:t xml:space="preserve">Analýza silnostěnných vláknových kompozitů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1"/>
          <w:sz w:val="28"/>
          <w:rtl w:val="0"/>
        </w:rPr>
        <w:t xml:space="preserve">Analysis of thickwalled fibre composites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Popis problematiky: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Rešerše a popis dané problematiky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Návrh analytického postupu analýzy silnostěnných vláknových kompositů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Návrh numerického postupu analýzy silnostěnných vláknových kompozitů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Numerická analýza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Závěry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3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Vedoucí diplomové práce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:  </w:t>
        <w:tab/>
        <w:t xml:space="preserve">Doc. Ing. Tomáš Mareš, Ph.D.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  <w:t xml:space="preserve">tomas.mares</w:t>
      </w:r>
      <w:hyperlink r:id="rId5">
        <w:r w:rsidRPr="00000000" w:rsidR="00000000" w:rsidDel="00000000">
          <w:rPr>
            <w:rFonts w:cs="Calibri" w:hAnsi="Calibri" w:eastAsia="Calibri" w:ascii="Calibri"/>
            <w:color w:val="0000ff"/>
            <w:sz w:val="20"/>
            <w:u w:val="single"/>
            <w:rtl w:val="0"/>
          </w:rPr>
          <w:t xml:space="preserve">@fs.cvut.cz</w:t>
        </w:r>
      </w:hyperlink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Konzultant (kontakt): </w:t>
        <w:tab/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Seznam doporučené literatury: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Tomáš Mareš, habilitation theses 2009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C.M.Wang, G.Y.Wang, J.N.Reddy: Exact solutions for buckling of structural members, CRC Press 2005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ilan.Ruzicka@fs.cvut.cz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DP3.docx</dc:title>
</cp:coreProperties>
</file>